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eastAsia" w:ascii="ＭＳ ゴシック" w:hAnsi="ＭＳ ゴシック" w:eastAsia="ＭＳ ゴシック"/>
          <w:sz w:val="20"/>
        </w:rPr>
      </w:pPr>
      <w:bookmarkStart w:id="0" w:name="_GoBack"/>
      <w:bookmarkEnd w:id="0"/>
      <w:r>
        <w:rPr>
          <w:rFonts w:hint="default" w:ascii="ＭＳ ゴシック" w:hAnsi="ＭＳ ゴシック" w:eastAsia="ＭＳ ゴシック"/>
          <w:sz w:val="20"/>
        </w:rPr>
        <w:t>別紙第５号様式</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sz w:val="20"/>
        </w:rPr>
      </w:pPr>
      <w:r>
        <w:rPr>
          <w:rFonts w:hint="eastAsia" w:ascii="ＭＳ ゴシック" w:hAnsi="ＭＳ ゴシック" w:eastAsia="ＭＳ ゴシック"/>
        </w:rPr>
        <w:t>　　　簡易専用水道の管理状況を示す書類　　　　　　　　　　</w:t>
      </w:r>
      <w:r>
        <w:rPr>
          <w:rFonts w:hint="eastAsia" w:ascii="ＭＳ ゴシック" w:hAnsi="ＭＳ ゴシック" w:eastAsia="ＭＳ ゴシック"/>
          <w:sz w:val="20"/>
        </w:rPr>
        <w:t>〔検査年月日：　　　年　　　月　　　日〕</w:t>
      </w:r>
    </w:p>
    <w:p>
      <w:pPr>
        <w:pStyle w:val="0"/>
        <w:rPr>
          <w:rFonts w:hint="eastAsia" w:ascii="ＭＳ ゴシック" w:hAnsi="ＭＳ ゴシック" w:eastAsia="ＭＳ ゴシック"/>
        </w:rPr>
      </w:pPr>
    </w:p>
    <w:tbl>
      <w:tblPr>
        <w:tblStyle w:val="11"/>
        <w:tblW w:w="9374" w:type="dxa"/>
        <w:tblInd w:w="2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425"/>
        <w:gridCol w:w="1343"/>
        <w:gridCol w:w="2446"/>
        <w:gridCol w:w="1275"/>
        <w:gridCol w:w="1457"/>
        <w:gridCol w:w="1134"/>
        <w:gridCol w:w="1276"/>
        <w:gridCol w:w="18"/>
      </w:tblGrid>
      <w:tr>
        <w:trPr>
          <w:gridBefore w:val="3"/>
          <w:gridAfter w:val="1"/>
          <w:wBefore w:w="4214" w:type="dxa"/>
          <w:wAfter w:w="18" w:type="dxa"/>
          <w:trHeight w:val="273" w:hRule="atLeast"/>
        </w:trPr>
        <w:tc>
          <w:tcPr>
            <w:tcW w:w="12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z w:val="18"/>
              </w:rPr>
              <w:t>建築物の名称</w:t>
            </w:r>
          </w:p>
        </w:tc>
        <w:tc>
          <w:tcPr>
            <w:tcW w:w="3867"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6"/>
              </w:rPr>
            </w:pPr>
          </w:p>
        </w:tc>
      </w:tr>
      <w:tr>
        <w:trPr>
          <w:gridAfter w:val="1"/>
          <w:wAfter w:w="18" w:type="dxa"/>
          <w:trHeight w:val="275" w:hRule="atLeast"/>
        </w:trPr>
        <w:tc>
          <w:tcPr>
            <w:tcW w:w="4214" w:type="dxa"/>
            <w:gridSpan w:val="3"/>
            <w:tcBorders>
              <w:top w:val="nil"/>
              <w:left w:val="nil"/>
              <w:bottom w:val="nil"/>
              <w:right w:val="none" w:color="auto" w:sz="0" w:space="0"/>
              <w:tl2br w:val="none" w:color="auto" w:sz="0" w:space="0"/>
              <w:tr2bl w:val="none" w:color="auto" w:sz="0" w:space="0"/>
            </w:tcBorders>
            <w:shd w:val="clear" w:color="auto" w:fill="auto"/>
            <w:vAlign w:val="top"/>
          </w:tcPr>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１　施設及びその管理の状態に関する状況</w:t>
            </w:r>
          </w:p>
        </w:tc>
        <w:tc>
          <w:tcPr>
            <w:tcW w:w="1275" w:type="dxa"/>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ゴシック" w:hAnsi="ＭＳ ゴシック" w:eastAsia="ＭＳ ゴシック"/>
                <w:sz w:val="18"/>
              </w:rPr>
            </w:pPr>
            <w:r>
              <w:rPr>
                <w:rFonts w:hint="eastAsia" w:ascii="ＭＳ ゴシック" w:hAnsi="ＭＳ ゴシック" w:eastAsia="ＭＳ ゴシック"/>
                <w:spacing w:val="124"/>
                <w:kern w:val="0"/>
                <w:sz w:val="18"/>
                <w:fitText w:val="1038" w:id="1"/>
              </w:rPr>
              <w:t>所在</w:t>
            </w:r>
            <w:r>
              <w:rPr>
                <w:rFonts w:hint="eastAsia" w:ascii="ＭＳ ゴシック" w:hAnsi="ＭＳ ゴシック" w:eastAsia="ＭＳ ゴシック"/>
                <w:spacing w:val="1"/>
                <w:kern w:val="0"/>
                <w:sz w:val="18"/>
                <w:fitText w:val="1038" w:id="1"/>
              </w:rPr>
              <w:t>地</w:t>
            </w:r>
          </w:p>
        </w:tc>
        <w:tc>
          <w:tcPr>
            <w:tcW w:w="3867" w:type="dxa"/>
            <w:gridSpan w:val="3"/>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Align w:val="top"/>
          </w:tcPr>
          <w:p>
            <w:pPr>
              <w:pStyle w:val="0"/>
              <w:spacing w:line="220" w:lineRule="exact"/>
              <w:rPr>
                <w:rFonts w:hint="default" w:ascii="ＭＳ ゴシック" w:hAnsi="ＭＳ ゴシック" w:eastAsia="ＭＳ ゴシック"/>
                <w:w w:val="50"/>
                <w:sz w:val="18"/>
              </w:rPr>
            </w:pPr>
            <w:r>
              <w:rPr>
                <w:rFonts w:hint="default" w:ascii="ＭＳ ゴシック" w:hAnsi="ＭＳ ゴシック" w:eastAsia="ＭＳ ゴシック"/>
                <w:w w:val="50"/>
                <w:sz w:val="18"/>
              </w:rPr>
              <w:t>番号</w:t>
            </w:r>
          </w:p>
        </w:tc>
        <w:tc>
          <w:tcPr>
            <w:tcW w:w="1343" w:type="dxa"/>
            <w:vAlign w:val="top"/>
          </w:tcPr>
          <w:p>
            <w:pPr>
              <w:pStyle w:val="0"/>
              <w:spacing w:line="220" w:lineRule="exact"/>
              <w:jc w:val="center"/>
              <w:rPr>
                <w:rFonts w:hint="default" w:ascii="ＭＳ ゴシック" w:hAnsi="ＭＳ ゴシック" w:eastAsia="ＭＳ ゴシック"/>
                <w:sz w:val="18"/>
              </w:rPr>
            </w:pPr>
            <w:r>
              <w:rPr>
                <w:rFonts w:hint="default" w:ascii="ＭＳ ゴシック" w:hAnsi="ＭＳ ゴシック" w:eastAsia="ＭＳ ゴシック"/>
                <w:sz w:val="18"/>
              </w:rPr>
              <w:t>項　　目</w:t>
            </w:r>
          </w:p>
        </w:tc>
        <w:tc>
          <w:tcPr>
            <w:tcW w:w="5178" w:type="dxa"/>
            <w:gridSpan w:val="3"/>
            <w:vAlign w:val="top"/>
          </w:tcPr>
          <w:p>
            <w:pPr>
              <w:pStyle w:val="0"/>
              <w:spacing w:line="220" w:lineRule="exact"/>
              <w:jc w:val="center"/>
              <w:rPr>
                <w:rFonts w:hint="default" w:ascii="ＭＳ ゴシック" w:hAnsi="ＭＳ ゴシック" w:eastAsia="ＭＳ ゴシック"/>
                <w:sz w:val="18"/>
              </w:rPr>
            </w:pPr>
            <w:r>
              <w:rPr>
                <w:rFonts w:hint="default" w:ascii="ＭＳ ゴシック" w:hAnsi="ＭＳ ゴシック" w:eastAsia="ＭＳ ゴシック"/>
                <w:spacing w:val="222"/>
                <w:kern w:val="0"/>
                <w:sz w:val="18"/>
                <w:fitText w:val="2052" w:id="2"/>
              </w:rPr>
              <w:t>判定基</w:t>
            </w:r>
            <w:r>
              <w:rPr>
                <w:rFonts w:hint="default" w:ascii="ＭＳ ゴシック" w:hAnsi="ＭＳ ゴシック" w:eastAsia="ＭＳ ゴシック"/>
                <w:spacing w:val="30"/>
                <w:kern w:val="0"/>
                <w:sz w:val="18"/>
                <w:fitText w:val="2052" w:id="2"/>
              </w:rPr>
              <w:t>準</w:t>
            </w:r>
          </w:p>
        </w:tc>
        <w:tc>
          <w:tcPr>
            <w:tcW w:w="1134" w:type="dxa"/>
            <w:vAlign w:val="top"/>
          </w:tcPr>
          <w:p>
            <w:pPr>
              <w:pStyle w:val="0"/>
              <w:spacing w:line="220" w:lineRule="exact"/>
              <w:jc w:val="center"/>
              <w:rPr>
                <w:rFonts w:hint="default" w:ascii="ＭＳ ゴシック" w:hAnsi="ＭＳ ゴシック" w:eastAsia="ＭＳ ゴシック"/>
                <w:w w:val="50"/>
                <w:sz w:val="18"/>
              </w:rPr>
            </w:pPr>
            <w:r>
              <w:rPr>
                <w:rFonts w:hint="default" w:ascii="ＭＳ ゴシック" w:hAnsi="ＭＳ ゴシック" w:eastAsia="ＭＳ ゴシック"/>
                <w:w w:val="50"/>
                <w:sz w:val="18"/>
              </w:rPr>
              <w:t>問題点の有無</w:t>
            </w:r>
          </w:p>
        </w:tc>
        <w:tc>
          <w:tcPr>
            <w:tcW w:w="1294" w:type="dxa"/>
            <w:gridSpan w:val="2"/>
            <w:vAlign w:val="top"/>
          </w:tcPr>
          <w:p>
            <w:pPr>
              <w:pStyle w:val="0"/>
              <w:spacing w:line="220" w:lineRule="exact"/>
              <w:jc w:val="center"/>
              <w:rPr>
                <w:rFonts w:hint="default" w:ascii="ＭＳ ゴシック" w:hAnsi="ＭＳ ゴシック" w:eastAsia="ＭＳ ゴシック"/>
                <w:sz w:val="18"/>
              </w:rPr>
            </w:pPr>
            <w:r>
              <w:rPr>
                <w:rFonts w:hint="default" w:ascii="ＭＳ ゴシック" w:hAnsi="ＭＳ ゴシック" w:eastAsia="ＭＳ ゴシック"/>
                <w:sz w:val="18"/>
              </w:rPr>
              <w:t>備　考</w:t>
            </w:r>
          </w:p>
        </w:tc>
      </w:tr>
      <w:tr>
        <w:tblPrEx>
          <w:tblCellMar>
            <w:left w:w="108" w:type="dxa"/>
            <w:right w:w="108" w:type="dxa"/>
          </w:tblCellMar>
          <w:tblLook w:firstRow="1" w:lastRow="0" w:firstColumn="1" w:lastColumn="0" w:noHBand="0" w:noVBand="1" w:val="04A0"/>
        </w:tblPrEx>
        <w:trPr/>
        <w:tc>
          <w:tcPr>
            <w:tcW w:w="425"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１</w:t>
            </w:r>
          </w:p>
        </w:tc>
        <w:tc>
          <w:tcPr>
            <w:tcW w:w="1343"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水槽の周囲の状況</w:t>
            </w:r>
          </w:p>
        </w:tc>
        <w:tc>
          <w:tcPr>
            <w:tcW w:w="517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１　点検、清掃、修理等に支障のない空間が確保されていること</w:t>
            </w: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２　清潔であり、ごみ、汚物等が置かれていないこと</w:t>
            </w: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３　水槽周辺にたまり水、湧水等がないこと</w:t>
            </w: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２</w:t>
            </w:r>
          </w:p>
        </w:tc>
        <w:tc>
          <w:tcPr>
            <w:tcW w:w="1343"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水槽本体の状態</w:t>
            </w:r>
          </w:p>
        </w:tc>
        <w:tc>
          <w:tcPr>
            <w:tcW w:w="517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１　点検、清掃、修理等に支障のない形状であること</w:t>
            </w: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２　亀裂し、又は漏水している箇所がないこと</w:t>
            </w: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３　雨水等が入り込む開口部や接合部のすき間がないこと</w:t>
            </w: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４　水位電極部、揚水管等の接合部が固定され、防水密閉されていること</w:t>
            </w: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３</w:t>
            </w:r>
          </w:p>
        </w:tc>
        <w:tc>
          <w:tcPr>
            <w:tcW w:w="1343"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水槽上部の状態</w:t>
            </w:r>
          </w:p>
        </w:tc>
        <w:tc>
          <w:tcPr>
            <w:tcW w:w="517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１　水槽上部は水たまりができない状態であり、ほこりその他衛生上有害なものが堆積していないこと</w:t>
            </w: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２　水槽のふたの直接上部には他の設備機器等が置かれていないこと</w:t>
            </w: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３　水槽の上床盤の上部には水を汚染するおそれのある設備、機器等が置かれていないこと</w:t>
            </w: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４</w:t>
            </w:r>
          </w:p>
        </w:tc>
        <w:tc>
          <w:tcPr>
            <w:tcW w:w="1343"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水槽内部の状態</w:t>
            </w:r>
          </w:p>
        </w:tc>
        <w:tc>
          <w:tcPr>
            <w:tcW w:w="517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１　汚泥、赤さび等の沈積物、槽内壁又は内部構造物の汚れ、塗装の剥離等が異常に存在しないこと</w:t>
            </w: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２　掃除が定期的に行われていることが明らかであること</w:t>
            </w: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３　外壁の塗装の劣化等により光が透過する状態になっていないこと</w:t>
            </w: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４　当該施設以外の配管設備が設置されていないこと</w:t>
            </w: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５　流入口と流出口が近接していないこと</w:t>
            </w: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６　水中及び水面に異常な浮遊物質が認められないこと</w:t>
            </w: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５</w:t>
            </w:r>
          </w:p>
        </w:tc>
        <w:tc>
          <w:tcPr>
            <w:tcW w:w="1343"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水槽のマンホールの状態</w:t>
            </w:r>
          </w:p>
        </w:tc>
        <w:tc>
          <w:tcPr>
            <w:tcW w:w="517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１　ふたが防水密閉型のものであって、ほこりその他衛生上有害なものが入らないものであり、点検等を行う者以外の者が容易に開閉できないものであること</w:t>
            </w: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２　マンホール面は、槽上面から衛生上有効に立ち上がっていること</w:t>
            </w: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６</w:t>
            </w:r>
          </w:p>
        </w:tc>
        <w:tc>
          <w:tcPr>
            <w:tcW w:w="1343"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水槽のオーバーフロー管の状態</w:t>
            </w:r>
          </w:p>
        </w:tc>
        <w:tc>
          <w:tcPr>
            <w:tcW w:w="517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１　管端部からほこりその他衛生上有害なものが入らない状態にあること</w:t>
            </w: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２　管端部の防虫網が確認でき、正常であること。また、網目の大きさは虫等の侵入を防ぐのに十分なものであること</w:t>
            </w: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３　管端部と排水管の流入口等とは直接連結されておらず、その間隔は逆流の防止に十分な距離であること</w:t>
            </w: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７</w:t>
            </w:r>
          </w:p>
        </w:tc>
        <w:tc>
          <w:tcPr>
            <w:tcW w:w="1343"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水槽の通気管の状態</w:t>
            </w:r>
          </w:p>
        </w:tc>
        <w:tc>
          <w:tcPr>
            <w:tcW w:w="517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１　管端部からほこりその他衛生上有害なものが入らない状態にあること</w:t>
            </w: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２　管端部の防虫網が確認でき、正常であること。また、網目の大きさは虫等の侵入を防ぐのに十分なものであること</w:t>
            </w:r>
          </w:p>
        </w:tc>
        <w:tc>
          <w:tcPr>
            <w:tcW w:w="1134"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３　通気管として十分な有効断面積を有するものであること</w:t>
            </w: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８</w:t>
            </w:r>
          </w:p>
        </w:tc>
        <w:tc>
          <w:tcPr>
            <w:tcW w:w="1343" w:type="dxa"/>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水槽の水抜管の状態</w:t>
            </w:r>
          </w:p>
        </w:tc>
        <w:tc>
          <w:tcPr>
            <w:tcW w:w="5178" w:type="dxa"/>
            <w:gridSpan w:val="3"/>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１　管端部と排水管の流入口等とは直接連結されておらず、その間隔は逆流の防止に十分な距離であること</w:t>
            </w:r>
          </w:p>
        </w:tc>
        <w:tc>
          <w:tcPr>
            <w:tcW w:w="1134" w:type="dxa"/>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９</w:t>
            </w:r>
          </w:p>
        </w:tc>
        <w:tc>
          <w:tcPr>
            <w:tcW w:w="1343" w:type="dxa"/>
            <w:vMerge w:val="restart"/>
            <w:vAlign w:val="top"/>
          </w:tcPr>
          <w:p>
            <w:pPr>
              <w:pStyle w:val="0"/>
              <w:spacing w:line="220" w:lineRule="exact"/>
              <w:rPr>
                <w:rFonts w:hint="default" w:ascii="ＭＳ ゴシック" w:hAnsi="ＭＳ ゴシック" w:eastAsia="ＭＳ ゴシック"/>
                <w:sz w:val="16"/>
              </w:rPr>
            </w:pPr>
            <w:r>
              <w:rPr>
                <w:rFonts w:hint="default" w:ascii="ＭＳ ゴシック" w:hAnsi="ＭＳ ゴシック" w:eastAsia="ＭＳ ゴシック"/>
                <w:sz w:val="16"/>
              </w:rPr>
              <w:t>給水管等の状態</w:t>
            </w:r>
          </w:p>
        </w:tc>
        <w:tc>
          <w:tcPr>
            <w:tcW w:w="5178" w:type="dxa"/>
            <w:gridSpan w:val="3"/>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１　当該施設以外の配管設備と直接連結されていないこと</w:t>
            </w:r>
          </w:p>
        </w:tc>
        <w:tc>
          <w:tcPr>
            <w:tcW w:w="1134" w:type="dxa"/>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r>
        <w:tblPrEx>
          <w:tblCellMar>
            <w:left w:w="108" w:type="dxa"/>
            <w:right w:w="108" w:type="dxa"/>
          </w:tblCellMar>
          <w:tblLook w:firstRow="1" w:lastRow="0" w:firstColumn="1" w:lastColumn="0" w:noHBand="0" w:noVBand="1" w:val="04A0"/>
        </w:tblPrEx>
        <w:trPr/>
        <w:tc>
          <w:tcPr>
            <w:tcW w:w="425" w:type="dxa"/>
            <w:vMerge w:val="continue"/>
            <w:vAlign w:val="top"/>
          </w:tcPr>
          <w:p>
            <w:pPr>
              <w:pStyle w:val="0"/>
              <w:spacing w:line="220" w:lineRule="exact"/>
              <w:rPr>
                <w:rFonts w:hint="default" w:ascii="ＭＳ ゴシック" w:hAnsi="ＭＳ ゴシック" w:eastAsia="ＭＳ ゴシック"/>
                <w:sz w:val="16"/>
              </w:rPr>
            </w:pPr>
          </w:p>
        </w:tc>
        <w:tc>
          <w:tcPr>
            <w:tcW w:w="1343" w:type="dxa"/>
            <w:vMerge w:val="continue"/>
            <w:vAlign w:val="top"/>
          </w:tcPr>
          <w:p>
            <w:pPr>
              <w:pStyle w:val="0"/>
              <w:spacing w:line="220" w:lineRule="exact"/>
              <w:rPr>
                <w:rFonts w:hint="default" w:ascii="ＭＳ ゴシック" w:hAnsi="ＭＳ ゴシック" w:eastAsia="ＭＳ ゴシック"/>
                <w:sz w:val="16"/>
              </w:rPr>
            </w:pPr>
          </w:p>
        </w:tc>
        <w:tc>
          <w:tcPr>
            <w:tcW w:w="5178" w:type="dxa"/>
            <w:gridSpan w:val="3"/>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spacing w:line="220" w:lineRule="exact"/>
              <w:ind w:left="147" w:hanging="147" w:hangingChars="100"/>
              <w:rPr>
                <w:rFonts w:hint="default" w:ascii="ＭＳ ゴシック" w:hAnsi="ＭＳ ゴシック" w:eastAsia="ＭＳ ゴシック"/>
                <w:sz w:val="16"/>
              </w:rPr>
            </w:pPr>
            <w:r>
              <w:rPr>
                <w:rFonts w:hint="default" w:ascii="ＭＳ ゴシック" w:hAnsi="ＭＳ ゴシック" w:eastAsia="ＭＳ ゴシック"/>
                <w:sz w:val="16"/>
              </w:rPr>
              <w:t>２　水を汚染するおそれのある設備の中を貫通していないこと</w:t>
            </w:r>
          </w:p>
        </w:tc>
        <w:tc>
          <w:tcPr>
            <w:tcW w:w="1134" w:type="dxa"/>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220" w:lineRule="exact"/>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9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220" w:lineRule="exact"/>
              <w:rPr>
                <w:rFonts w:hint="default" w:ascii="ＭＳ ゴシック" w:hAnsi="ＭＳ ゴシック" w:eastAsia="ＭＳ ゴシック"/>
                <w:sz w:val="16"/>
              </w:rPr>
            </w:pPr>
          </w:p>
        </w:tc>
      </w:tr>
    </w:tbl>
    <w:p>
      <w:pPr>
        <w:pStyle w:val="0"/>
        <w:rPr>
          <w:rFonts w:hint="eastAsia" w:ascii="ＭＳ ゴシック" w:hAnsi="ＭＳ ゴシック" w:eastAsia="ＭＳ ゴシック"/>
          <w:sz w:val="18"/>
        </w:rPr>
      </w:pPr>
      <w:r>
        <w:rPr>
          <w:rFonts w:hint="default" w:ascii="ＭＳ ゴシック" w:hAnsi="ＭＳ ゴシック" w:eastAsia="ＭＳ ゴシック"/>
          <w:sz w:val="18"/>
        </w:rPr>
        <w:t>２　給水栓における水質検査の状況</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5"/>
        <w:gridCol w:w="1276"/>
        <w:gridCol w:w="5245"/>
        <w:gridCol w:w="1134"/>
        <w:gridCol w:w="1276"/>
      </w:tblGrid>
      <w:tr>
        <w:trPr/>
        <w:tc>
          <w:tcPr>
            <w:tcW w:w="425" w:type="dxa"/>
            <w:vAlign w:val="top"/>
          </w:tcPr>
          <w:p>
            <w:pPr>
              <w:pStyle w:val="0"/>
              <w:rPr>
                <w:rFonts w:hint="default" w:ascii="ＭＳ ゴシック" w:hAnsi="ＭＳ ゴシック" w:eastAsia="ＭＳ ゴシック"/>
                <w:w w:val="50"/>
                <w:sz w:val="18"/>
              </w:rPr>
            </w:pPr>
            <w:r>
              <w:rPr>
                <w:rFonts w:hint="default" w:ascii="ＭＳ ゴシック" w:hAnsi="ＭＳ ゴシック" w:eastAsia="ＭＳ ゴシック"/>
                <w:w w:val="50"/>
                <w:sz w:val="18"/>
              </w:rPr>
              <w:t>番号</w:t>
            </w:r>
          </w:p>
        </w:tc>
        <w:tc>
          <w:tcPr>
            <w:tcW w:w="1276" w:type="dxa"/>
            <w:vAlign w:val="top"/>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検査項目</w:t>
            </w:r>
          </w:p>
        </w:tc>
        <w:tc>
          <w:tcPr>
            <w:tcW w:w="5245" w:type="dxa"/>
            <w:vAlign w:val="top"/>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pacing w:val="222"/>
                <w:kern w:val="0"/>
                <w:sz w:val="18"/>
                <w:fitText w:val="2052" w:id="3"/>
              </w:rPr>
              <w:t>判定基</w:t>
            </w:r>
            <w:r>
              <w:rPr>
                <w:rFonts w:hint="default" w:ascii="ＭＳ ゴシック" w:hAnsi="ＭＳ ゴシック" w:eastAsia="ＭＳ ゴシック"/>
                <w:spacing w:val="30"/>
                <w:kern w:val="0"/>
                <w:sz w:val="18"/>
                <w:fitText w:val="2052" w:id="3"/>
              </w:rPr>
              <w:t>準</w:t>
            </w:r>
          </w:p>
        </w:tc>
        <w:tc>
          <w:tcPr>
            <w:tcW w:w="1134" w:type="dxa"/>
            <w:vAlign w:val="top"/>
          </w:tcPr>
          <w:p>
            <w:pPr>
              <w:pStyle w:val="0"/>
              <w:jc w:val="center"/>
              <w:rPr>
                <w:rFonts w:hint="default" w:ascii="ＭＳ ゴシック" w:hAnsi="ＭＳ ゴシック" w:eastAsia="ＭＳ ゴシック"/>
                <w:w w:val="50"/>
                <w:sz w:val="18"/>
              </w:rPr>
            </w:pPr>
            <w:r>
              <w:rPr>
                <w:rFonts w:hint="default" w:ascii="ＭＳ ゴシック" w:hAnsi="ＭＳ ゴシック" w:eastAsia="ＭＳ ゴシック"/>
                <w:w w:val="50"/>
                <w:sz w:val="18"/>
              </w:rPr>
              <w:t>異常の有無</w:t>
            </w:r>
          </w:p>
        </w:tc>
        <w:tc>
          <w:tcPr>
            <w:tcW w:w="1276" w:type="dxa"/>
            <w:vAlign w:val="top"/>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備　考</w:t>
            </w:r>
          </w:p>
        </w:tc>
      </w:tr>
      <w:tr>
        <w:trPr/>
        <w:tc>
          <w:tcPr>
            <w:tcW w:w="425"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10</w:t>
            </w:r>
          </w:p>
        </w:tc>
        <w:tc>
          <w:tcPr>
            <w:tcW w:w="1276"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臭気</w:t>
            </w:r>
          </w:p>
        </w:tc>
        <w:tc>
          <w:tcPr>
            <w:tcW w:w="5245" w:type="dxa"/>
            <w:tcMar>
              <w:top w:w="28" w:type="dxa"/>
              <w:left w:w="85" w:type="dxa"/>
              <w:bottom w:w="28" w:type="dxa"/>
              <w:right w:w="85" w:type="dxa"/>
            </w:tcMar>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異常な臭気が認められないこと</w:t>
            </w:r>
          </w:p>
        </w:tc>
        <w:tc>
          <w:tcPr>
            <w:tcW w:w="1134" w:type="dxa"/>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76" w:type="dxa"/>
            <w:vAlign w:val="top"/>
          </w:tcPr>
          <w:p>
            <w:pPr>
              <w:pStyle w:val="0"/>
              <w:rPr>
                <w:rFonts w:hint="default" w:ascii="ＭＳ ゴシック" w:hAnsi="ＭＳ ゴシック" w:eastAsia="ＭＳ ゴシック"/>
                <w:sz w:val="16"/>
              </w:rPr>
            </w:pPr>
          </w:p>
        </w:tc>
      </w:tr>
      <w:tr>
        <w:trPr/>
        <w:tc>
          <w:tcPr>
            <w:tcW w:w="425"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11</w:t>
            </w:r>
          </w:p>
        </w:tc>
        <w:tc>
          <w:tcPr>
            <w:tcW w:w="1276"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味</w:t>
            </w:r>
          </w:p>
        </w:tc>
        <w:tc>
          <w:tcPr>
            <w:tcW w:w="5245" w:type="dxa"/>
            <w:tcMar>
              <w:top w:w="28" w:type="dxa"/>
              <w:left w:w="85" w:type="dxa"/>
              <w:bottom w:w="28" w:type="dxa"/>
              <w:right w:w="85" w:type="dxa"/>
            </w:tcMar>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異常な味が認められないこと</w:t>
            </w:r>
          </w:p>
        </w:tc>
        <w:tc>
          <w:tcPr>
            <w:tcW w:w="1134" w:type="dxa"/>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76" w:type="dxa"/>
            <w:vAlign w:val="top"/>
          </w:tcPr>
          <w:p>
            <w:pPr>
              <w:pStyle w:val="0"/>
              <w:rPr>
                <w:rFonts w:hint="default" w:ascii="ＭＳ ゴシック" w:hAnsi="ＭＳ ゴシック" w:eastAsia="ＭＳ ゴシック"/>
                <w:sz w:val="16"/>
              </w:rPr>
            </w:pPr>
          </w:p>
        </w:tc>
      </w:tr>
      <w:tr>
        <w:trPr/>
        <w:tc>
          <w:tcPr>
            <w:tcW w:w="425"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12</w:t>
            </w:r>
          </w:p>
        </w:tc>
        <w:tc>
          <w:tcPr>
            <w:tcW w:w="1276"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色</w:t>
            </w:r>
          </w:p>
        </w:tc>
        <w:tc>
          <w:tcPr>
            <w:tcW w:w="5245" w:type="dxa"/>
            <w:tcMar>
              <w:top w:w="28" w:type="dxa"/>
              <w:left w:w="85" w:type="dxa"/>
              <w:bottom w:w="28" w:type="dxa"/>
              <w:right w:w="85" w:type="dxa"/>
            </w:tcMar>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異常な色が認められないこと</w:t>
            </w:r>
          </w:p>
        </w:tc>
        <w:tc>
          <w:tcPr>
            <w:tcW w:w="1134" w:type="dxa"/>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76" w:type="dxa"/>
            <w:vAlign w:val="top"/>
          </w:tcPr>
          <w:p>
            <w:pPr>
              <w:pStyle w:val="0"/>
              <w:rPr>
                <w:rFonts w:hint="default" w:ascii="ＭＳ ゴシック" w:hAnsi="ＭＳ ゴシック" w:eastAsia="ＭＳ ゴシック"/>
                <w:sz w:val="16"/>
              </w:rPr>
            </w:pPr>
          </w:p>
        </w:tc>
      </w:tr>
      <w:tr>
        <w:trPr/>
        <w:tc>
          <w:tcPr>
            <w:tcW w:w="425"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13</w:t>
            </w:r>
          </w:p>
        </w:tc>
        <w:tc>
          <w:tcPr>
            <w:tcW w:w="1276"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色度</w:t>
            </w:r>
          </w:p>
        </w:tc>
        <w:tc>
          <w:tcPr>
            <w:tcW w:w="5245" w:type="dxa"/>
            <w:tcMar>
              <w:top w:w="28" w:type="dxa"/>
              <w:left w:w="85" w:type="dxa"/>
              <w:bottom w:w="28" w:type="dxa"/>
              <w:right w:w="85" w:type="dxa"/>
            </w:tcMar>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５度以下であること</w:t>
            </w:r>
          </w:p>
        </w:tc>
        <w:tc>
          <w:tcPr>
            <w:tcW w:w="1134" w:type="dxa"/>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76" w:type="dxa"/>
            <w:vAlign w:val="top"/>
          </w:tcPr>
          <w:p>
            <w:pPr>
              <w:pStyle w:val="0"/>
              <w:rPr>
                <w:rFonts w:hint="default" w:ascii="ＭＳ ゴシック" w:hAnsi="ＭＳ ゴシック" w:eastAsia="ＭＳ ゴシック"/>
                <w:sz w:val="16"/>
              </w:rPr>
            </w:pPr>
          </w:p>
        </w:tc>
      </w:tr>
      <w:tr>
        <w:trPr/>
        <w:tc>
          <w:tcPr>
            <w:tcW w:w="425"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14</w:t>
            </w:r>
          </w:p>
        </w:tc>
        <w:tc>
          <w:tcPr>
            <w:tcW w:w="1276"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濁度</w:t>
            </w:r>
          </w:p>
        </w:tc>
        <w:tc>
          <w:tcPr>
            <w:tcW w:w="5245" w:type="dxa"/>
            <w:tcMar>
              <w:top w:w="28" w:type="dxa"/>
              <w:left w:w="85" w:type="dxa"/>
              <w:bottom w:w="28" w:type="dxa"/>
              <w:right w:w="85" w:type="dxa"/>
            </w:tcMar>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２度以下であること</w:t>
            </w:r>
          </w:p>
        </w:tc>
        <w:tc>
          <w:tcPr>
            <w:tcW w:w="1134" w:type="dxa"/>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76" w:type="dxa"/>
            <w:vAlign w:val="top"/>
          </w:tcPr>
          <w:p>
            <w:pPr>
              <w:pStyle w:val="0"/>
              <w:rPr>
                <w:rFonts w:hint="default" w:ascii="ＭＳ ゴシック" w:hAnsi="ＭＳ ゴシック" w:eastAsia="ＭＳ ゴシック"/>
                <w:sz w:val="16"/>
              </w:rPr>
            </w:pPr>
          </w:p>
        </w:tc>
      </w:tr>
      <w:tr>
        <w:trPr/>
        <w:tc>
          <w:tcPr>
            <w:tcW w:w="425"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15</w:t>
            </w:r>
          </w:p>
        </w:tc>
        <w:tc>
          <w:tcPr>
            <w:tcW w:w="1276" w:type="dxa"/>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残留塩素</w:t>
            </w:r>
          </w:p>
        </w:tc>
        <w:tc>
          <w:tcPr>
            <w:tcW w:w="5245" w:type="dxa"/>
            <w:tcMar>
              <w:top w:w="28" w:type="dxa"/>
              <w:left w:w="85" w:type="dxa"/>
              <w:bottom w:w="28" w:type="dxa"/>
              <w:right w:w="85" w:type="dxa"/>
            </w:tcMar>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検出されること</w:t>
            </w:r>
          </w:p>
        </w:tc>
        <w:tc>
          <w:tcPr>
            <w:tcW w:w="1134" w:type="dxa"/>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有</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無</w:t>
            </w:r>
          </w:p>
        </w:tc>
        <w:tc>
          <w:tcPr>
            <w:tcW w:w="1276" w:type="dxa"/>
            <w:vAlign w:val="top"/>
          </w:tcPr>
          <w:p>
            <w:pPr>
              <w:pStyle w:val="0"/>
              <w:rPr>
                <w:rFonts w:hint="default" w:ascii="ＭＳ ゴシック" w:hAnsi="ＭＳ ゴシック" w:eastAsia="ＭＳ ゴシック"/>
                <w:sz w:val="16"/>
              </w:rPr>
            </w:pPr>
          </w:p>
        </w:tc>
      </w:tr>
    </w:tbl>
    <w:p>
      <w:pPr>
        <w:pStyle w:val="0"/>
        <w:rPr>
          <w:rFonts w:hint="eastAsia" w:ascii="ＭＳ ゴシック" w:hAnsi="ＭＳ ゴシック" w:eastAsia="ＭＳ ゴシック"/>
          <w:sz w:val="18"/>
        </w:rPr>
      </w:pPr>
      <w:r>
        <w:rPr>
          <w:rFonts w:hint="default" w:ascii="ＭＳ ゴシック" w:hAnsi="ＭＳ ゴシック" w:eastAsia="ＭＳ ゴシック"/>
          <w:sz w:val="18"/>
        </w:rPr>
        <w:br w:type="page"/>
      </w:r>
      <w:r>
        <w:rPr>
          <w:rFonts w:hint="default" w:ascii="ＭＳ ゴシック" w:hAnsi="ＭＳ ゴシック" w:eastAsia="ＭＳ ゴシック"/>
          <w:sz w:val="18"/>
        </w:rPr>
        <w:t>３　書類の整理及び保存の状況</w:t>
      </w:r>
    </w:p>
    <w:tbl>
      <w:tblPr>
        <w:tblStyle w:val="11"/>
        <w:tblW w:w="935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25"/>
        <w:gridCol w:w="6237"/>
        <w:gridCol w:w="1276"/>
        <w:gridCol w:w="1418"/>
      </w:tblGrid>
      <w:tr>
        <w:trPr/>
        <w:tc>
          <w:tcPr>
            <w:tcW w:w="425" w:type="dxa"/>
            <w:tcMar>
              <w:top w:w="28" w:type="dxa"/>
              <w:bottom w:w="28" w:type="dxa"/>
            </w:tcMar>
            <w:vAlign w:val="top"/>
          </w:tcPr>
          <w:p>
            <w:pPr>
              <w:pStyle w:val="0"/>
              <w:rPr>
                <w:rFonts w:hint="default" w:ascii="ＭＳ ゴシック" w:hAnsi="ＭＳ ゴシック" w:eastAsia="ＭＳ ゴシック"/>
                <w:w w:val="50"/>
                <w:sz w:val="18"/>
              </w:rPr>
            </w:pPr>
            <w:r>
              <w:rPr>
                <w:rFonts w:hint="default" w:ascii="ＭＳ ゴシック" w:hAnsi="ＭＳ ゴシック" w:eastAsia="ＭＳ ゴシック"/>
                <w:w w:val="50"/>
                <w:sz w:val="18"/>
              </w:rPr>
              <w:t>番号</w:t>
            </w:r>
          </w:p>
        </w:tc>
        <w:tc>
          <w:tcPr>
            <w:tcW w:w="6237" w:type="dxa"/>
            <w:tcMar>
              <w:top w:w="28" w:type="dxa"/>
              <w:bottom w:w="28" w:type="dxa"/>
            </w:tcMar>
            <w:vAlign w:val="top"/>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pacing w:val="655"/>
                <w:kern w:val="0"/>
                <w:sz w:val="18"/>
                <w:fitText w:val="1670" w:id="4"/>
              </w:rPr>
              <w:t>項</w:t>
            </w:r>
            <w:r>
              <w:rPr>
                <w:rFonts w:hint="default" w:ascii="ＭＳ ゴシック" w:hAnsi="ＭＳ ゴシック" w:eastAsia="ＭＳ ゴシック"/>
                <w:spacing w:val="7"/>
                <w:kern w:val="0"/>
                <w:sz w:val="18"/>
                <w:fitText w:val="1670" w:id="4"/>
              </w:rPr>
              <w:t>目</w:t>
            </w:r>
          </w:p>
        </w:tc>
        <w:tc>
          <w:tcPr>
            <w:tcW w:w="1276" w:type="dxa"/>
            <w:tcMar>
              <w:top w:w="28" w:type="dxa"/>
              <w:bottom w:w="28" w:type="dxa"/>
            </w:tcMar>
            <w:vAlign w:val="top"/>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整備状況</w:t>
            </w:r>
          </w:p>
        </w:tc>
        <w:tc>
          <w:tcPr>
            <w:tcW w:w="1418" w:type="dxa"/>
            <w:tcMar>
              <w:top w:w="28" w:type="dxa"/>
              <w:bottom w:w="28" w:type="dxa"/>
            </w:tcMar>
            <w:vAlign w:val="top"/>
          </w:tcPr>
          <w:p>
            <w:pPr>
              <w:pStyle w:val="0"/>
              <w:jc w:val="center"/>
              <w:rPr>
                <w:rFonts w:hint="default" w:ascii="ＭＳ ゴシック" w:hAnsi="ＭＳ ゴシック" w:eastAsia="ＭＳ ゴシック"/>
                <w:sz w:val="18"/>
              </w:rPr>
            </w:pPr>
            <w:r>
              <w:rPr>
                <w:rFonts w:hint="default" w:ascii="ＭＳ ゴシック" w:hAnsi="ＭＳ ゴシック" w:eastAsia="ＭＳ ゴシック"/>
                <w:sz w:val="18"/>
              </w:rPr>
              <w:t>備　考</w:t>
            </w:r>
          </w:p>
        </w:tc>
      </w:tr>
      <w:tr>
        <w:trPr/>
        <w:tc>
          <w:tcPr>
            <w:tcW w:w="425" w:type="dxa"/>
            <w:vMerge w:val="restart"/>
            <w:tcMar>
              <w:top w:w="28" w:type="dxa"/>
              <w:bottom w:w="28" w:type="dxa"/>
            </w:tcMar>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16</w:t>
            </w:r>
          </w:p>
        </w:tc>
        <w:tc>
          <w:tcPr>
            <w:tcW w:w="6237" w:type="dxa"/>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１　簡易専用水道の設備の配置及び系統を明らかにした図面</w:t>
            </w:r>
          </w:p>
        </w:tc>
        <w:tc>
          <w:tcPr>
            <w:tcW w:w="1276" w:type="dxa"/>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不良</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良好</w:t>
            </w:r>
          </w:p>
        </w:tc>
        <w:tc>
          <w:tcPr>
            <w:tcW w:w="1418" w:type="dxa"/>
            <w:tcBorders>
              <w:top w:val="none" w:color="auto" w:sz="0"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rPr>
                <w:rFonts w:hint="default" w:ascii="ＭＳ ゴシック" w:hAnsi="ＭＳ ゴシック" w:eastAsia="ＭＳ ゴシック"/>
                <w:sz w:val="16"/>
              </w:rPr>
            </w:pPr>
          </w:p>
        </w:tc>
      </w:tr>
      <w:tr>
        <w:trPr/>
        <w:tc>
          <w:tcPr>
            <w:tcW w:w="425" w:type="dxa"/>
            <w:vMerge w:val="continue"/>
            <w:tcMar>
              <w:top w:w="28" w:type="dxa"/>
              <w:bottom w:w="28" w:type="dxa"/>
            </w:tcMar>
            <w:vAlign w:val="top"/>
          </w:tcPr>
          <w:p>
            <w:pPr>
              <w:pStyle w:val="0"/>
              <w:rPr>
                <w:rFonts w:hint="default" w:ascii="ＭＳ ゴシック" w:hAnsi="ＭＳ ゴシック" w:eastAsia="ＭＳ ゴシック"/>
                <w:sz w:val="16"/>
              </w:rPr>
            </w:pPr>
          </w:p>
        </w:tc>
        <w:tc>
          <w:tcPr>
            <w:tcW w:w="6237"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２　受水槽の周囲の構造物の配置を明らかにした平面図</w:t>
            </w:r>
          </w:p>
        </w:tc>
        <w:tc>
          <w:tcPr>
            <w:tcW w:w="1276"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不良</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良好</w:t>
            </w:r>
          </w:p>
        </w:tc>
        <w:tc>
          <w:tcPr>
            <w:tcW w:w="1418" w:type="dxa"/>
            <w:tcBorders>
              <w:top w:val="dashSmallGap" w:color="auto" w:sz="4" w:space="0"/>
              <w:left w:val="none" w:color="auto" w:sz="0" w:space="0"/>
              <w:bottom w:val="dashSmallGap" w:color="auto" w:sz="4" w:space="0"/>
              <w:right w:val="none" w:color="auto" w:sz="0" w:space="0"/>
              <w:tl2br w:val="none" w:color="auto" w:sz="0" w:space="0"/>
              <w:tr2bl w:val="none" w:color="auto" w:sz="0" w:space="0"/>
            </w:tcBorders>
            <w:tcMar>
              <w:top w:w="28" w:type="dxa"/>
              <w:bottom w:w="28" w:type="dxa"/>
            </w:tcMar>
            <w:vAlign w:val="top"/>
          </w:tcPr>
          <w:p>
            <w:pPr>
              <w:pStyle w:val="0"/>
              <w:rPr>
                <w:rFonts w:hint="default" w:ascii="ＭＳ ゴシック" w:hAnsi="ＭＳ ゴシック" w:eastAsia="ＭＳ ゴシック"/>
                <w:sz w:val="16"/>
              </w:rPr>
            </w:pPr>
          </w:p>
        </w:tc>
      </w:tr>
      <w:tr>
        <w:trPr/>
        <w:tc>
          <w:tcPr>
            <w:tcW w:w="425" w:type="dxa"/>
            <w:vMerge w:val="continue"/>
            <w:tcMar>
              <w:top w:w="28" w:type="dxa"/>
              <w:bottom w:w="28" w:type="dxa"/>
            </w:tcMar>
            <w:vAlign w:val="top"/>
          </w:tcPr>
          <w:p>
            <w:pPr>
              <w:pStyle w:val="0"/>
              <w:rPr>
                <w:rFonts w:hint="default" w:ascii="ＭＳ ゴシック" w:hAnsi="ＭＳ ゴシック" w:eastAsia="ＭＳ ゴシック"/>
                <w:sz w:val="16"/>
              </w:rPr>
            </w:pPr>
          </w:p>
        </w:tc>
        <w:tc>
          <w:tcPr>
            <w:tcW w:w="6237" w:type="dxa"/>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rPr>
                <w:rFonts w:hint="default" w:ascii="ＭＳ ゴシック" w:hAnsi="ＭＳ ゴシック" w:eastAsia="ＭＳ ゴシック"/>
                <w:sz w:val="16"/>
              </w:rPr>
            </w:pPr>
            <w:r>
              <w:rPr>
                <w:rFonts w:hint="default" w:ascii="ＭＳ ゴシック" w:hAnsi="ＭＳ ゴシック" w:eastAsia="ＭＳ ゴシック"/>
                <w:sz w:val="16"/>
              </w:rPr>
              <w:t>３　水槽の掃除の記録その他の帳簿書類</w:t>
            </w:r>
          </w:p>
        </w:tc>
        <w:tc>
          <w:tcPr>
            <w:tcW w:w="1276" w:type="dxa"/>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center"/>
          </w:tcPr>
          <w:p>
            <w:pPr>
              <w:pStyle w:val="0"/>
              <w:jc w:val="center"/>
              <w:rPr>
                <w:rFonts w:hint="default" w:ascii="ＭＳ ゴシック" w:hAnsi="ＭＳ ゴシック" w:eastAsia="ＭＳ ゴシック"/>
                <w:sz w:val="16"/>
              </w:rPr>
            </w:pPr>
            <w:r>
              <w:rPr>
                <w:rFonts w:hint="default" w:ascii="ＭＳ ゴシック" w:hAnsi="ＭＳ ゴシック" w:eastAsia="ＭＳ ゴシック"/>
                <w:sz w:val="16"/>
              </w:rPr>
              <w:t>不良</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w:t>
            </w:r>
            <w:r>
              <w:rPr>
                <w:rFonts w:hint="eastAsia" w:ascii="ＭＳ ゴシック" w:hAnsi="ＭＳ ゴシック" w:eastAsia="ＭＳ ゴシック"/>
                <w:sz w:val="16"/>
              </w:rPr>
              <w:t xml:space="preserve"> </w:t>
            </w:r>
            <w:r>
              <w:rPr>
                <w:rFonts w:hint="default" w:ascii="ＭＳ ゴシック" w:hAnsi="ＭＳ ゴシック" w:eastAsia="ＭＳ ゴシック"/>
                <w:sz w:val="16"/>
              </w:rPr>
              <w:t>良好</w:t>
            </w:r>
          </w:p>
        </w:tc>
        <w:tc>
          <w:tcPr>
            <w:tcW w:w="1418" w:type="dxa"/>
            <w:tcBorders>
              <w:top w:val="dashSmallGap" w:color="auto" w:sz="4" w:space="0"/>
              <w:left w:val="none" w:color="auto" w:sz="0" w:space="0"/>
              <w:bottom w:val="none" w:color="auto" w:sz="0" w:space="0"/>
              <w:right w:val="none" w:color="auto" w:sz="0" w:space="0"/>
              <w:tl2br w:val="none" w:color="auto" w:sz="0" w:space="0"/>
              <w:tr2bl w:val="none" w:color="auto" w:sz="0" w:space="0"/>
            </w:tcBorders>
            <w:tcMar>
              <w:top w:w="28" w:type="dxa"/>
              <w:bottom w:w="28" w:type="dxa"/>
            </w:tcMar>
            <w:vAlign w:val="top"/>
          </w:tcPr>
          <w:p>
            <w:pPr>
              <w:pStyle w:val="0"/>
              <w:rPr>
                <w:rFonts w:hint="default" w:ascii="ＭＳ ゴシック" w:hAnsi="ＭＳ ゴシック" w:eastAsia="ＭＳ ゴシック"/>
                <w:sz w:val="16"/>
              </w:rPr>
            </w:pPr>
          </w:p>
        </w:tc>
      </w:tr>
    </w:tbl>
    <w:p>
      <w:pPr>
        <w:pStyle w:val="0"/>
        <w:rPr>
          <w:rFonts w:hint="eastAsia" w:ascii="ＭＳ ゴシック" w:hAnsi="ＭＳ ゴシック" w:eastAsia="ＭＳ ゴシック"/>
          <w:sz w:val="18"/>
        </w:rPr>
      </w:pPr>
      <w:r>
        <w:rPr>
          <w:rFonts w:hint="eastAsia" w:ascii="ＭＳ ゴシック" w:hAnsi="ＭＳ ゴシック" w:eastAsia="ＭＳ ゴシック"/>
          <w:sz w:val="18"/>
        </w:rPr>
        <w:t>４　その他の管理に関する特記事項</w:t>
      </w:r>
    </w:p>
    <w:tbl>
      <w:tblPr>
        <w:tblStyle w:val="11"/>
        <w:tblpPr w:leftFromText="142" w:rightFromText="142" w:topFromText="0" w:bottomFromText="0" w:vertAnchor="text" w:horzAnchor="margin" w:tblpX="241" w:tblpY="46"/>
        <w:tblW w:w="9313" w:type="dxa"/>
        <w:tblBorders>
          <w:top w:val="dashSmallGap" w:color="auto" w:sz="4" w:space="0"/>
          <w:left w:val="dashSmallGap" w:color="auto" w:sz="4" w:space="0"/>
          <w:bottom w:val="dashSmallGap" w:color="auto" w:sz="4" w:space="0"/>
          <w:right w:val="dashSmallGap" w:color="auto" w:sz="4" w:space="0"/>
          <w:insideH w:val="dashSmallGap" w:color="auto" w:sz="4" w:space="0"/>
          <w:insideV w:val="dashSmallGap" w:color="auto" w:sz="4" w:space="0"/>
        </w:tblBorders>
        <w:tblLayout w:type="fixed"/>
        <w:tblCellMar>
          <w:top w:w="0" w:type="dxa"/>
          <w:left w:w="99" w:type="dxa"/>
          <w:bottom w:w="0" w:type="dxa"/>
          <w:right w:w="99" w:type="dxa"/>
        </w:tblCellMar>
        <w:tblLook w:firstRow="0" w:lastRow="0" w:firstColumn="0" w:lastColumn="0" w:noHBand="0" w:noVBand="0" w:val="0000"/>
      </w:tblPr>
      <w:tblGrid>
        <w:gridCol w:w="9313"/>
      </w:tblGrid>
      <w:tr>
        <w:trPr>
          <w:trHeight w:val="1260" w:hRule="atLeast"/>
        </w:trPr>
        <w:tc>
          <w:tcPr>
            <w:tcW w:w="9313"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rPr>
                <w:rFonts w:hint="eastAsia" w:ascii="ＭＳ ゴシック" w:hAnsi="ＭＳ ゴシック" w:eastAsia="ＭＳ ゴシック"/>
                <w:sz w:val="18"/>
              </w:rPr>
            </w:pPr>
          </w:p>
        </w:tc>
      </w:tr>
    </w:tbl>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default" w:ascii="ＭＳ ゴシック" w:hAnsi="ＭＳ ゴシック" w:eastAsia="ＭＳ ゴシック"/>
        </w:rPr>
        <w:t>《記載要領》</w:t>
      </w:r>
    </w:p>
    <w:p>
      <w:pPr>
        <w:pStyle w:val="0"/>
        <w:ind w:left="197" w:hanging="197" w:hangingChars="100"/>
        <w:rPr>
          <w:rFonts w:hint="eastAsia" w:ascii="ＭＳ ゴシック" w:hAnsi="ＭＳ ゴシック" w:eastAsia="ＭＳ ゴシック"/>
        </w:rPr>
      </w:pPr>
      <w:r>
        <w:rPr>
          <w:rFonts w:hint="eastAsia" w:ascii="ＭＳ ゴシック" w:hAnsi="ＭＳ ゴシック" w:eastAsia="ＭＳ ゴシック"/>
        </w:rPr>
        <w:t>１　建築物における衛生的環境の確保に関する法律（昭和４５年法律第２０号）第１０条に規定する帳簿書類に基づき、それに記載されている給水の管理の状況について記入すること。</w:t>
      </w:r>
    </w:p>
    <w:p>
      <w:pPr>
        <w:pStyle w:val="0"/>
        <w:ind w:left="197" w:hanging="197" w:hangingChars="100"/>
        <w:rPr>
          <w:rFonts w:hint="eastAsia" w:ascii="ＭＳ ゴシック" w:hAnsi="ＭＳ ゴシック" w:eastAsia="ＭＳ ゴシック"/>
        </w:rPr>
      </w:pPr>
      <w:r>
        <w:rPr>
          <w:rFonts w:hint="eastAsia" w:ascii="ＭＳ ゴシック" w:hAnsi="ＭＳ ゴシック" w:eastAsia="ＭＳ ゴシック"/>
        </w:rPr>
        <w:t>２　記載に当たっては、当該建築物の建築物環境衛生管理技術者の意見を聞くこと。</w:t>
      </w:r>
    </w:p>
    <w:p>
      <w:pPr>
        <w:pStyle w:val="0"/>
        <w:ind w:left="197" w:hanging="197" w:hangingChars="100"/>
        <w:rPr>
          <w:rFonts w:hint="eastAsia" w:ascii="ＭＳ ゴシック" w:hAnsi="ＭＳ ゴシック" w:eastAsia="ＭＳ ゴシック"/>
        </w:rPr>
      </w:pPr>
      <w:r>
        <w:rPr>
          <w:rFonts w:hint="eastAsia" w:ascii="ＭＳ ゴシック" w:hAnsi="ＭＳ ゴシック" w:eastAsia="ＭＳ ゴシック"/>
        </w:rPr>
        <w:t>３　表中１～８に掲げる事項については、必要に応じ、水槽ごとに記入すること。</w:t>
      </w:r>
    </w:p>
    <w:p>
      <w:pPr>
        <w:pStyle w:val="0"/>
        <w:ind w:left="197" w:hanging="197" w:hangingChars="100"/>
        <w:rPr>
          <w:rFonts w:hint="eastAsia" w:ascii="ＭＳ ゴシック" w:hAnsi="ＭＳ ゴシック" w:eastAsia="ＭＳ ゴシック"/>
        </w:rPr>
      </w:pPr>
      <w:r>
        <w:rPr>
          <w:rFonts w:hint="eastAsia" w:ascii="ＭＳ ゴシック" w:hAnsi="ＭＳ ゴシック" w:eastAsia="ＭＳ ゴシック"/>
        </w:rPr>
        <w:t>４　管理の判定基準により各項目ごとに管理上の問題点の有無を○印で囲み、問題点が有りの場合は備考欄にその具体的内容を簡潔に記載すること。</w:t>
      </w:r>
    </w:p>
    <w:p>
      <w:pPr>
        <w:pStyle w:val="0"/>
        <w:ind w:left="197" w:hanging="197" w:hangingChars="100"/>
        <w:rPr>
          <w:rFonts w:hint="eastAsia" w:ascii="ＭＳ ゴシック" w:hAnsi="ＭＳ ゴシック" w:eastAsia="ＭＳ ゴシック"/>
        </w:rPr>
      </w:pPr>
      <w:r>
        <w:rPr>
          <w:rFonts w:hint="eastAsia" w:ascii="ＭＳ ゴシック" w:hAnsi="ＭＳ ゴシック" w:eastAsia="ＭＳ ゴシック"/>
        </w:rPr>
        <w:t>　　なお、番号１３の「色度」、１４の「濁度」については、水質基準に関する省令（平成１５年厚生労働省令第１０１号）に定める基準に適合しない場合には、「異常有」欄を○印で囲むとともに、備考欄にその度数を記載すること。</w:t>
      </w:r>
    </w:p>
    <w:p>
      <w:pPr>
        <w:pStyle w:val="0"/>
        <w:ind w:left="197" w:hanging="197" w:hangingChars="100"/>
        <w:rPr>
          <w:rFonts w:hint="default" w:ascii="ＭＳ ゴシック" w:hAnsi="ＭＳ ゴシック" w:eastAsia="ＭＳ ゴシック"/>
        </w:rPr>
        <w:sectPr>
          <w:pgSz w:w="11906" w:h="16838"/>
          <w:pgMar w:top="1191" w:right="1191" w:bottom="1134" w:left="1247" w:header="851" w:footer="992" w:gutter="0"/>
          <w:cols w:space="720"/>
          <w:textDirection w:val="lrTb"/>
          <w:docGrid w:type="linesAndChars" w:linePitch="289" w:charSpace="-2612"/>
        </w:sectPr>
      </w:pPr>
      <w:r>
        <w:rPr>
          <w:rFonts w:hint="eastAsia" w:ascii="ＭＳ ゴシック" w:hAnsi="ＭＳ ゴシック" w:eastAsia="ＭＳ ゴシック"/>
        </w:rPr>
        <w:t>　　また、番号１５の「残留塩素」については、検出されなかった場合「異常有」欄を○印で囲むこと。</w:t>
      </w:r>
    </w:p>
    <w:p>
      <w:pPr>
        <w:pStyle w:val="0"/>
        <w:rPr>
          <w:rFonts w:hint="default" w:ascii="ＭＳ ゴシック" w:hAnsi="ＭＳ ゴシック" w:eastAsia="ＭＳ ゴシック"/>
        </w:rPr>
        <w:sectPr>
          <w:pgSz w:w="11906" w:h="16838"/>
          <w:pgMar w:top="1191" w:right="1418" w:bottom="1134" w:left="1531" w:header="851" w:footer="992" w:gutter="0"/>
          <w:cols w:space="720"/>
          <w:textDirection w:val="lrTb"/>
          <w:docGrid w:type="linesAndChars" w:linePitch="362" w:charSpace="-348"/>
        </w:sectPr>
      </w:pPr>
    </w:p>
    <w:p>
      <w:pPr>
        <w:pStyle w:val="0"/>
        <w:rPr>
          <w:rFonts w:hint="default"/>
        </w:rPr>
      </w:pPr>
    </w:p>
    <w:sectPr>
      <w:pgSz w:w="11906" w:h="16838"/>
      <w:pgMar w:top="1588" w:right="1588" w:bottom="1361" w:left="1588" w:header="851" w:footer="992" w:gutter="0"/>
      <w:cols w:space="720"/>
      <w:textDirection w:val="lrTb"/>
      <w:docGrid w:type="linesAndChars" w:linePitch="313" w:charSpace="-250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4"/>
  <w:drawingGridVerticalSpacing w:val="181"/>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ＭＳ 明朝" w:hAnsi="ＭＳ 明朝"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4</Pages>
  <Words>7</Words>
  <Characters>1772</Characters>
  <Application>JUST Note</Application>
  <Lines>1069</Lines>
  <Paragraphs>132</Paragraphs>
  <CharactersWithSpaces>1913</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松井＿みどり</dc:creator>
  <cp:lastModifiedBy>松井＿みどり</cp:lastModifiedBy>
  <dcterms:created xsi:type="dcterms:W3CDTF">2021-11-02T05:30:00Z</dcterms:created>
  <dcterms:modified xsi:type="dcterms:W3CDTF">2021-11-02T05:30:04Z</dcterms:modified>
  <cp:revision>0</cp:revision>
</cp:coreProperties>
</file>